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89"/>
      </w:tblGrid>
      <w:tr w:rsidR="00907182" w:rsidRPr="00ED29E5" w14:paraId="0ED62255" w14:textId="77777777" w:rsidTr="00DA4514">
        <w:trPr>
          <w:trHeight w:val="1246"/>
        </w:trPr>
        <w:tc>
          <w:tcPr>
            <w:tcW w:w="9289" w:type="dxa"/>
            <w:shd w:val="clear" w:color="auto" w:fill="F2F2F2"/>
          </w:tcPr>
          <w:p w14:paraId="17B1AF30" w14:textId="4331E8E8" w:rsidR="00AB4E1F" w:rsidRPr="00ED29E5" w:rsidRDefault="00AB4E1F" w:rsidP="00ED29E5">
            <w:pPr>
              <w:spacing w:line="276" w:lineRule="auto"/>
              <w:rPr>
                <w:b/>
                <w:sz w:val="22"/>
                <w:szCs w:val="22"/>
              </w:rPr>
            </w:pPr>
            <w:r w:rsidRPr="00ED29E5">
              <w:rPr>
                <w:b/>
                <w:sz w:val="22"/>
                <w:szCs w:val="22"/>
              </w:rPr>
              <w:t xml:space="preserve">Standard 10. Organizational and </w:t>
            </w:r>
            <w:r w:rsidR="00F245A5">
              <w:rPr>
                <w:b/>
                <w:sz w:val="22"/>
                <w:szCs w:val="22"/>
              </w:rPr>
              <w:t>M</w:t>
            </w:r>
            <w:r w:rsidRPr="00ED29E5">
              <w:rPr>
                <w:b/>
                <w:sz w:val="22"/>
                <w:szCs w:val="22"/>
              </w:rPr>
              <w:t xml:space="preserve">aterial </w:t>
            </w:r>
            <w:r w:rsidR="00F245A5">
              <w:rPr>
                <w:b/>
                <w:sz w:val="22"/>
                <w:szCs w:val="22"/>
              </w:rPr>
              <w:t>R</w:t>
            </w:r>
            <w:r w:rsidRPr="00ED29E5">
              <w:rPr>
                <w:b/>
                <w:sz w:val="22"/>
                <w:szCs w:val="22"/>
              </w:rPr>
              <w:t>esources</w:t>
            </w:r>
          </w:p>
          <w:p w14:paraId="380765B8" w14:textId="5CCF83DC" w:rsidR="00907182" w:rsidRPr="00ED29E5" w:rsidRDefault="00AB4E1F" w:rsidP="0089134D">
            <w:pPr>
              <w:spacing w:line="276" w:lineRule="auto"/>
              <w:jc w:val="both"/>
              <w:rPr>
                <w:bCs/>
                <w:sz w:val="22"/>
                <w:szCs w:val="22"/>
              </w:rPr>
            </w:pPr>
            <w:r w:rsidRPr="00ED29E5">
              <w:rPr>
                <w:bCs/>
                <w:sz w:val="22"/>
                <w:szCs w:val="22"/>
              </w:rPr>
              <w:t>Adequate human, spatial, technical-technological, library and other resources, appropriate to the character of the study program and the anticipated number of students, are provided for the implementation of the study program.</w:t>
            </w:r>
          </w:p>
        </w:tc>
      </w:tr>
      <w:tr w:rsidR="00907182" w:rsidRPr="00ED29E5" w14:paraId="466EE3D7" w14:textId="77777777" w:rsidTr="00A539D7">
        <w:tc>
          <w:tcPr>
            <w:tcW w:w="9289" w:type="dxa"/>
            <w:tcBorders>
              <w:bottom w:val="single" w:sz="12" w:space="0" w:color="auto"/>
            </w:tcBorders>
          </w:tcPr>
          <w:p w14:paraId="08CAE0A0" w14:textId="77777777" w:rsidR="00ED29E5" w:rsidRPr="00ED29E5" w:rsidRDefault="00ED29E5" w:rsidP="0089134D">
            <w:pPr>
              <w:spacing w:line="276" w:lineRule="auto"/>
              <w:jc w:val="both"/>
              <w:rPr>
                <w:bCs/>
                <w:sz w:val="22"/>
                <w:szCs w:val="22"/>
              </w:rPr>
            </w:pPr>
            <w:r w:rsidRPr="00ED29E5">
              <w:rPr>
                <w:bCs/>
                <w:sz w:val="22"/>
                <w:szCs w:val="22"/>
              </w:rPr>
              <w:t xml:space="preserve">The </w:t>
            </w:r>
            <w:proofErr w:type="gramStart"/>
            <w:r w:rsidRPr="00ED29E5">
              <w:rPr>
                <w:bCs/>
                <w:sz w:val="22"/>
                <w:szCs w:val="22"/>
              </w:rPr>
              <w:t>Faculty</w:t>
            </w:r>
            <w:proofErr w:type="gramEnd"/>
            <w:r w:rsidRPr="00ED29E5">
              <w:rPr>
                <w:bCs/>
                <w:sz w:val="22"/>
                <w:szCs w:val="22"/>
              </w:rPr>
              <w:t xml:space="preserve"> has a space of 8,710.16 m2. There are 20 auditoriums, 17 classrooms and an amphitheatre. All rooms are air-conditioned and equipped with computers (192 desktops, 112 laptops, 63 printers, 18 multifunctional devices), projectors, electronic boards and the Internet. In addition to the EDUROAM service, there is also an RCUB network, and a new Siemens telecommunications system is integrated.</w:t>
            </w:r>
          </w:p>
          <w:p w14:paraId="6A180B20" w14:textId="77777777" w:rsidR="00ED29E5" w:rsidRPr="00ED29E5" w:rsidRDefault="00ED29E5" w:rsidP="0089134D">
            <w:pPr>
              <w:spacing w:line="276" w:lineRule="auto"/>
              <w:jc w:val="both"/>
              <w:rPr>
                <w:bCs/>
                <w:sz w:val="22"/>
                <w:szCs w:val="22"/>
              </w:rPr>
            </w:pPr>
          </w:p>
          <w:p w14:paraId="376FC2E3" w14:textId="77777777" w:rsidR="00ED29E5" w:rsidRPr="00ED29E5" w:rsidRDefault="00ED29E5" w:rsidP="0089134D">
            <w:pPr>
              <w:spacing w:line="276" w:lineRule="auto"/>
              <w:jc w:val="both"/>
              <w:rPr>
                <w:bCs/>
                <w:sz w:val="22"/>
                <w:szCs w:val="22"/>
              </w:rPr>
            </w:pPr>
            <w:r w:rsidRPr="00ED29E5">
              <w:rPr>
                <w:bCs/>
                <w:sz w:val="22"/>
                <w:szCs w:val="22"/>
              </w:rPr>
              <w:t xml:space="preserve">On the website of the Faculty of Political Sciences, University of Belgrade, there are links to databases of electronic journals Political Science Complete (450 journal titles, 350 e-books, 50,000 scientific articles from conferences), up to 34 e-books published by Oxford and 12 journals published by T&amp;F. In addition, through the academic network, the </w:t>
            </w:r>
            <w:proofErr w:type="gramStart"/>
            <w:r w:rsidRPr="00ED29E5">
              <w:rPr>
                <w:bCs/>
                <w:sz w:val="22"/>
                <w:szCs w:val="22"/>
              </w:rPr>
              <w:t>Faculty</w:t>
            </w:r>
            <w:proofErr w:type="gramEnd"/>
            <w:r w:rsidRPr="00ED29E5">
              <w:rPr>
                <w:bCs/>
                <w:sz w:val="22"/>
                <w:szCs w:val="22"/>
              </w:rPr>
              <w:t xml:space="preserve"> has access to </w:t>
            </w:r>
            <w:proofErr w:type="spellStart"/>
            <w:r w:rsidRPr="00ED29E5">
              <w:rPr>
                <w:bCs/>
                <w:sz w:val="22"/>
                <w:szCs w:val="22"/>
              </w:rPr>
              <w:t>KoBSON</w:t>
            </w:r>
            <w:proofErr w:type="spellEnd"/>
            <w:r w:rsidRPr="00ED29E5">
              <w:rPr>
                <w:bCs/>
                <w:sz w:val="22"/>
                <w:szCs w:val="22"/>
              </w:rPr>
              <w:t xml:space="preserve"> services, and, hence, tens of thousands of journals (more than 35,000 titles) and e-books (about 160,000 titles) from over twenty reputable publishers. The library fund also includes books in foreign languages, ​​as part of the funds of the research centres at the </w:t>
            </w:r>
            <w:proofErr w:type="gramStart"/>
            <w:r w:rsidRPr="00ED29E5">
              <w:rPr>
                <w:bCs/>
                <w:sz w:val="22"/>
                <w:szCs w:val="22"/>
              </w:rPr>
              <w:t>Faculty</w:t>
            </w:r>
            <w:proofErr w:type="gramEnd"/>
            <w:r w:rsidRPr="00ED29E5">
              <w:rPr>
                <w:bCs/>
                <w:sz w:val="22"/>
                <w:szCs w:val="22"/>
              </w:rPr>
              <w:t xml:space="preserve">: </w:t>
            </w:r>
            <w:proofErr w:type="spellStart"/>
            <w:r w:rsidRPr="00ED29E5">
              <w:rPr>
                <w:bCs/>
                <w:sz w:val="22"/>
                <w:szCs w:val="22"/>
              </w:rPr>
              <w:t>Center</w:t>
            </w:r>
            <w:proofErr w:type="spellEnd"/>
            <w:r w:rsidRPr="00ED29E5">
              <w:rPr>
                <w:bCs/>
                <w:sz w:val="22"/>
                <w:szCs w:val="22"/>
              </w:rPr>
              <w:t xml:space="preserve"> for American Studies, </w:t>
            </w:r>
            <w:proofErr w:type="spellStart"/>
            <w:r w:rsidRPr="00ED29E5">
              <w:rPr>
                <w:bCs/>
                <w:sz w:val="22"/>
                <w:szCs w:val="22"/>
              </w:rPr>
              <w:t>Center</w:t>
            </w:r>
            <w:proofErr w:type="spellEnd"/>
            <w:r w:rsidRPr="00ED29E5">
              <w:rPr>
                <w:bCs/>
                <w:sz w:val="22"/>
                <w:szCs w:val="22"/>
              </w:rPr>
              <w:t xml:space="preserve"> for British Studies, </w:t>
            </w:r>
            <w:proofErr w:type="spellStart"/>
            <w:r w:rsidRPr="00ED29E5">
              <w:rPr>
                <w:bCs/>
                <w:sz w:val="22"/>
                <w:szCs w:val="22"/>
              </w:rPr>
              <w:t>Center</w:t>
            </w:r>
            <w:proofErr w:type="spellEnd"/>
            <w:r w:rsidRPr="00ED29E5">
              <w:rPr>
                <w:bCs/>
                <w:sz w:val="22"/>
                <w:szCs w:val="22"/>
              </w:rPr>
              <w:t xml:space="preserve"> for Russian Studies, </w:t>
            </w:r>
            <w:proofErr w:type="spellStart"/>
            <w:r w:rsidRPr="00ED29E5">
              <w:rPr>
                <w:bCs/>
                <w:sz w:val="22"/>
                <w:szCs w:val="22"/>
              </w:rPr>
              <w:t>Center</w:t>
            </w:r>
            <w:proofErr w:type="spellEnd"/>
            <w:r w:rsidRPr="00ED29E5">
              <w:rPr>
                <w:bCs/>
                <w:sz w:val="22"/>
                <w:szCs w:val="22"/>
              </w:rPr>
              <w:t xml:space="preserve"> for Ecology, </w:t>
            </w:r>
            <w:proofErr w:type="spellStart"/>
            <w:r w:rsidRPr="00ED29E5">
              <w:rPr>
                <w:bCs/>
                <w:sz w:val="22"/>
                <w:szCs w:val="22"/>
              </w:rPr>
              <w:t>Center</w:t>
            </w:r>
            <w:proofErr w:type="spellEnd"/>
            <w:r w:rsidRPr="00ED29E5">
              <w:rPr>
                <w:bCs/>
                <w:sz w:val="22"/>
                <w:szCs w:val="22"/>
              </w:rPr>
              <w:t xml:space="preserve"> for International and Humanitarian Law, </w:t>
            </w:r>
            <w:proofErr w:type="spellStart"/>
            <w:r w:rsidRPr="00ED29E5">
              <w:rPr>
                <w:bCs/>
                <w:sz w:val="22"/>
                <w:szCs w:val="22"/>
              </w:rPr>
              <w:t>Center</w:t>
            </w:r>
            <w:proofErr w:type="spellEnd"/>
            <w:r w:rsidRPr="00ED29E5">
              <w:rPr>
                <w:bCs/>
                <w:sz w:val="22"/>
                <w:szCs w:val="22"/>
              </w:rPr>
              <w:t xml:space="preserve"> for International Security, </w:t>
            </w:r>
            <w:proofErr w:type="spellStart"/>
            <w:r w:rsidRPr="00ED29E5">
              <w:rPr>
                <w:bCs/>
                <w:sz w:val="22"/>
                <w:szCs w:val="22"/>
              </w:rPr>
              <w:t>Center</w:t>
            </w:r>
            <w:proofErr w:type="spellEnd"/>
            <w:r w:rsidRPr="00ED29E5">
              <w:rPr>
                <w:bCs/>
                <w:sz w:val="22"/>
                <w:szCs w:val="22"/>
              </w:rPr>
              <w:t xml:space="preserve"> for Peace Studies and </w:t>
            </w:r>
            <w:proofErr w:type="spellStart"/>
            <w:r w:rsidRPr="00ED29E5">
              <w:rPr>
                <w:bCs/>
                <w:sz w:val="22"/>
                <w:szCs w:val="22"/>
              </w:rPr>
              <w:t>Center</w:t>
            </w:r>
            <w:proofErr w:type="spellEnd"/>
            <w:r w:rsidRPr="00ED29E5">
              <w:rPr>
                <w:bCs/>
                <w:sz w:val="22"/>
                <w:szCs w:val="22"/>
              </w:rPr>
              <w:t xml:space="preserve"> for Gender Studies.</w:t>
            </w:r>
          </w:p>
          <w:p w14:paraId="55944665" w14:textId="77777777" w:rsidR="00ED29E5" w:rsidRPr="00ED29E5" w:rsidRDefault="00ED29E5" w:rsidP="0089134D">
            <w:pPr>
              <w:spacing w:line="276" w:lineRule="auto"/>
              <w:jc w:val="both"/>
              <w:rPr>
                <w:bCs/>
                <w:sz w:val="22"/>
                <w:szCs w:val="22"/>
              </w:rPr>
            </w:pPr>
          </w:p>
          <w:p w14:paraId="345D78EB" w14:textId="77777777" w:rsidR="00ED29E5" w:rsidRPr="00ED29E5" w:rsidRDefault="00ED29E5" w:rsidP="0089134D">
            <w:pPr>
              <w:spacing w:line="276" w:lineRule="auto"/>
              <w:jc w:val="both"/>
              <w:rPr>
                <w:bCs/>
                <w:sz w:val="22"/>
                <w:szCs w:val="22"/>
              </w:rPr>
            </w:pPr>
            <w:r w:rsidRPr="00ED29E5">
              <w:rPr>
                <w:bCs/>
                <w:sz w:val="22"/>
                <w:szCs w:val="22"/>
              </w:rPr>
              <w:t xml:space="preserve">The FPS library has over 67,000 library units, and a list of textbooks used in all study programs is attached. FPS publishes the journals FPN Yearbook, </w:t>
            </w:r>
            <w:proofErr w:type="spellStart"/>
            <w:r w:rsidRPr="00ED29E5">
              <w:rPr>
                <w:bCs/>
                <w:sz w:val="22"/>
                <w:szCs w:val="22"/>
              </w:rPr>
              <w:t>Genero</w:t>
            </w:r>
            <w:proofErr w:type="spellEnd"/>
            <w:r w:rsidRPr="00ED29E5">
              <w:rPr>
                <w:bCs/>
                <w:sz w:val="22"/>
                <w:szCs w:val="22"/>
              </w:rPr>
              <w:t xml:space="preserve">, Political Life, Political Perspectives, CM - Communication and Media, Journal of Regional Security, which are also part of the library fund in addition to 800 titles of scientific journals in domestic and foreign languages. The </w:t>
            </w:r>
            <w:proofErr w:type="gramStart"/>
            <w:r w:rsidRPr="00ED29E5">
              <w:rPr>
                <w:bCs/>
                <w:sz w:val="22"/>
                <w:szCs w:val="22"/>
              </w:rPr>
              <w:t>Faculty</w:t>
            </w:r>
            <w:proofErr w:type="gramEnd"/>
            <w:r w:rsidRPr="00ED29E5">
              <w:rPr>
                <w:bCs/>
                <w:sz w:val="22"/>
                <w:szCs w:val="22"/>
              </w:rPr>
              <w:t xml:space="preserve"> has established an institutional Repository of Scientific Results which can be accessed through the faculty website and which provides an overview of scientific publications, as well as insights into other results produced within the projects carried out at the Faculty (monographs, journal articles, chapters in thematic volumes, primary data, audio and video materials, etc.).</w:t>
            </w:r>
          </w:p>
          <w:p w14:paraId="00F49C40" w14:textId="77777777" w:rsidR="00ED29E5" w:rsidRPr="00ED29E5" w:rsidRDefault="00ED29E5" w:rsidP="0089134D">
            <w:pPr>
              <w:spacing w:line="276" w:lineRule="auto"/>
              <w:jc w:val="both"/>
              <w:rPr>
                <w:bCs/>
                <w:sz w:val="22"/>
                <w:szCs w:val="22"/>
              </w:rPr>
            </w:pPr>
          </w:p>
          <w:p w14:paraId="366E7442" w14:textId="431B04AA" w:rsidR="00AB4E1F" w:rsidRPr="00ED29E5" w:rsidRDefault="00ED29E5" w:rsidP="0089134D">
            <w:pPr>
              <w:spacing w:line="276" w:lineRule="auto"/>
              <w:jc w:val="both"/>
              <w:rPr>
                <w:bCs/>
                <w:sz w:val="22"/>
                <w:szCs w:val="22"/>
              </w:rPr>
            </w:pPr>
            <w:r w:rsidRPr="00ED29E5">
              <w:rPr>
                <w:bCs/>
                <w:sz w:val="22"/>
                <w:szCs w:val="22"/>
              </w:rPr>
              <w:t>The library itself has a reading room with 25 seats, out of which ten seats are equipped with computers. The library also includes a central reading room with 200 seats. All faculty information resources have internet access.</w:t>
            </w:r>
          </w:p>
        </w:tc>
      </w:tr>
      <w:tr w:rsidR="00907182" w:rsidRPr="00ED29E5" w14:paraId="0C40199F" w14:textId="77777777" w:rsidTr="00A539D7">
        <w:trPr>
          <w:trHeight w:val="3246"/>
        </w:trPr>
        <w:tc>
          <w:tcPr>
            <w:tcW w:w="9289" w:type="dxa"/>
            <w:shd w:val="clear" w:color="auto" w:fill="F2F2F2"/>
          </w:tcPr>
          <w:p w14:paraId="642C7551" w14:textId="272E4BC3" w:rsidR="00AB4E1F" w:rsidRPr="00ED29E5" w:rsidRDefault="00AB4E1F" w:rsidP="00ED29E5">
            <w:pPr>
              <w:pBdr>
                <w:bottom w:val="single" w:sz="6" w:space="1" w:color="auto"/>
              </w:pBdr>
              <w:spacing w:line="276" w:lineRule="auto"/>
              <w:jc w:val="both"/>
              <w:rPr>
                <w:b/>
                <w:sz w:val="22"/>
                <w:szCs w:val="22"/>
              </w:rPr>
            </w:pPr>
            <w:r w:rsidRPr="00ED29E5">
              <w:rPr>
                <w:b/>
                <w:sz w:val="22"/>
                <w:szCs w:val="22"/>
              </w:rPr>
              <w:t>Tables and Appendices for Standard 10:</w:t>
            </w:r>
          </w:p>
          <w:p w14:paraId="54609C15" w14:textId="77777777" w:rsidR="00AB4E1F" w:rsidRPr="00ED29E5" w:rsidRDefault="00AB4E1F" w:rsidP="00ED29E5">
            <w:pPr>
              <w:spacing w:line="276" w:lineRule="auto"/>
              <w:rPr>
                <w:bCs/>
                <w:sz w:val="22"/>
                <w:szCs w:val="22"/>
              </w:rPr>
            </w:pPr>
            <w:r w:rsidRPr="00ED29E5">
              <w:rPr>
                <w:b/>
                <w:sz w:val="22"/>
                <w:szCs w:val="22"/>
              </w:rPr>
              <w:t xml:space="preserve">Table 10.1. </w:t>
            </w:r>
            <w:r w:rsidRPr="00ED29E5">
              <w:rPr>
                <w:bCs/>
                <w:sz w:val="22"/>
                <w:szCs w:val="22"/>
              </w:rPr>
              <w:t>List of rooms with an area in the higher education institution where classes are held in the study program:</w:t>
            </w:r>
          </w:p>
          <w:p w14:paraId="1950A8B3" w14:textId="77777777" w:rsidR="00AB4E1F" w:rsidRPr="00ED29E5" w:rsidRDefault="00AB4E1F" w:rsidP="00ED29E5">
            <w:pPr>
              <w:spacing w:line="276" w:lineRule="auto"/>
              <w:rPr>
                <w:bCs/>
                <w:sz w:val="22"/>
                <w:szCs w:val="22"/>
              </w:rPr>
            </w:pPr>
            <w:r w:rsidRPr="00ED29E5">
              <w:rPr>
                <w:b/>
                <w:sz w:val="22"/>
                <w:szCs w:val="22"/>
              </w:rPr>
              <w:t xml:space="preserve">Table 10.2. </w:t>
            </w:r>
            <w:r w:rsidRPr="00ED29E5">
              <w:rPr>
                <w:bCs/>
                <w:sz w:val="22"/>
                <w:szCs w:val="22"/>
              </w:rPr>
              <w:t>List of equipment for performing the study program.</w:t>
            </w:r>
          </w:p>
          <w:p w14:paraId="4664910D" w14:textId="77777777" w:rsidR="00AB4E1F" w:rsidRPr="00ED29E5" w:rsidRDefault="00AB4E1F" w:rsidP="00ED29E5">
            <w:pPr>
              <w:spacing w:line="276" w:lineRule="auto"/>
              <w:rPr>
                <w:bCs/>
                <w:sz w:val="22"/>
                <w:szCs w:val="22"/>
              </w:rPr>
            </w:pPr>
            <w:r w:rsidRPr="00ED29E5">
              <w:rPr>
                <w:b/>
                <w:sz w:val="22"/>
                <w:szCs w:val="22"/>
              </w:rPr>
              <w:t xml:space="preserve">Table 10.3. </w:t>
            </w:r>
            <w:r w:rsidRPr="00ED29E5">
              <w:rPr>
                <w:bCs/>
                <w:sz w:val="22"/>
                <w:szCs w:val="22"/>
              </w:rPr>
              <w:t>List of library units relevant to the study program.</w:t>
            </w:r>
          </w:p>
          <w:p w14:paraId="1B1D7824" w14:textId="77777777" w:rsidR="00AB4E1F" w:rsidRPr="00ED29E5" w:rsidRDefault="00AB4E1F" w:rsidP="00ED29E5">
            <w:pPr>
              <w:spacing w:line="276" w:lineRule="auto"/>
              <w:rPr>
                <w:b/>
                <w:sz w:val="22"/>
                <w:szCs w:val="22"/>
              </w:rPr>
            </w:pPr>
            <w:r w:rsidRPr="00ED29E5">
              <w:rPr>
                <w:b/>
                <w:sz w:val="22"/>
                <w:szCs w:val="22"/>
              </w:rPr>
              <w:t xml:space="preserve">Table 10.4. </w:t>
            </w:r>
            <w:r w:rsidRPr="00ED29E5">
              <w:rPr>
                <w:bCs/>
                <w:sz w:val="22"/>
                <w:szCs w:val="22"/>
              </w:rPr>
              <w:t>List of textbooks available to students in the study program.</w:t>
            </w:r>
          </w:p>
          <w:p w14:paraId="2FB30B7C" w14:textId="65EA2246" w:rsidR="00AB4E1F" w:rsidRPr="00ED29E5" w:rsidRDefault="00AB4E1F" w:rsidP="00ED29E5">
            <w:pPr>
              <w:spacing w:line="276" w:lineRule="auto"/>
              <w:rPr>
                <w:bCs/>
                <w:sz w:val="22"/>
                <w:szCs w:val="22"/>
              </w:rPr>
            </w:pPr>
            <w:r w:rsidRPr="00ED29E5">
              <w:rPr>
                <w:b/>
                <w:sz w:val="22"/>
                <w:szCs w:val="22"/>
              </w:rPr>
              <w:t xml:space="preserve">Table 10.5. </w:t>
            </w:r>
            <w:r w:rsidRPr="00ED29E5">
              <w:rPr>
                <w:bCs/>
                <w:sz w:val="22"/>
                <w:szCs w:val="22"/>
              </w:rPr>
              <w:t>Coverage of compulsory subjects by literature (books, volumes, practicums...), which are in the library or in sales.</w:t>
            </w:r>
          </w:p>
          <w:p w14:paraId="7CE629D3" w14:textId="0104C359" w:rsidR="00907182" w:rsidRPr="00ED29E5" w:rsidRDefault="00907182" w:rsidP="00ED29E5">
            <w:pPr>
              <w:pBdr>
                <w:bottom w:val="single" w:sz="6" w:space="1" w:color="auto"/>
              </w:pBdr>
              <w:spacing w:line="276" w:lineRule="auto"/>
              <w:rPr>
                <w:sz w:val="22"/>
                <w:szCs w:val="22"/>
              </w:rPr>
            </w:pPr>
          </w:p>
          <w:p w14:paraId="0CF69BD6" w14:textId="4BC56B10" w:rsidR="00AB4E1F" w:rsidRPr="00ED29E5" w:rsidRDefault="00AB4E1F" w:rsidP="00ED29E5">
            <w:pPr>
              <w:spacing w:line="276" w:lineRule="auto"/>
              <w:jc w:val="both"/>
              <w:rPr>
                <w:b/>
                <w:sz w:val="22"/>
                <w:szCs w:val="22"/>
              </w:rPr>
            </w:pPr>
            <w:r w:rsidRPr="00ED29E5">
              <w:rPr>
                <w:b/>
                <w:sz w:val="22"/>
                <w:szCs w:val="22"/>
              </w:rPr>
              <w:t>A</w:t>
            </w:r>
            <w:r w:rsidR="00ED29E5">
              <w:rPr>
                <w:b/>
                <w:sz w:val="22"/>
                <w:szCs w:val="22"/>
              </w:rPr>
              <w:t>ppendix</w:t>
            </w:r>
            <w:r w:rsidRPr="00ED29E5">
              <w:rPr>
                <w:b/>
                <w:sz w:val="22"/>
                <w:szCs w:val="22"/>
              </w:rPr>
              <w:t xml:space="preserve"> 10.1. </w:t>
            </w:r>
            <w:r w:rsidRPr="00ED29E5">
              <w:rPr>
                <w:bCs/>
                <w:sz w:val="22"/>
                <w:szCs w:val="22"/>
              </w:rPr>
              <w:t>Proof of ownership, use agreements or lease agreements.</w:t>
            </w:r>
          </w:p>
          <w:p w14:paraId="6BC52839" w14:textId="7F79F922" w:rsidR="00AB4E1F" w:rsidRPr="00ED29E5" w:rsidRDefault="00ED29E5" w:rsidP="00ED29E5">
            <w:pPr>
              <w:spacing w:line="276" w:lineRule="auto"/>
              <w:jc w:val="both"/>
              <w:rPr>
                <w:bCs/>
                <w:sz w:val="22"/>
                <w:szCs w:val="22"/>
              </w:rPr>
            </w:pPr>
            <w:r w:rsidRPr="00ED29E5">
              <w:rPr>
                <w:b/>
                <w:sz w:val="22"/>
                <w:szCs w:val="22"/>
              </w:rPr>
              <w:t>A</w:t>
            </w:r>
            <w:r>
              <w:rPr>
                <w:b/>
                <w:sz w:val="22"/>
                <w:szCs w:val="22"/>
              </w:rPr>
              <w:t>ppendix</w:t>
            </w:r>
            <w:r w:rsidR="00AB4E1F" w:rsidRPr="00ED29E5">
              <w:rPr>
                <w:b/>
                <w:sz w:val="22"/>
                <w:szCs w:val="22"/>
              </w:rPr>
              <w:t xml:space="preserve"> 10.2. </w:t>
            </w:r>
            <w:r w:rsidR="00AB4E1F" w:rsidRPr="00ED29E5">
              <w:rPr>
                <w:bCs/>
                <w:sz w:val="22"/>
                <w:szCs w:val="22"/>
              </w:rPr>
              <w:t>Excerpt from the inventory book.</w:t>
            </w:r>
          </w:p>
          <w:p w14:paraId="4A43206F" w14:textId="1C5DCF36" w:rsidR="00907182" w:rsidRPr="0089134D" w:rsidRDefault="00ED29E5" w:rsidP="00ED29E5">
            <w:pPr>
              <w:spacing w:line="276" w:lineRule="auto"/>
              <w:jc w:val="both"/>
              <w:rPr>
                <w:b/>
                <w:sz w:val="22"/>
                <w:szCs w:val="22"/>
              </w:rPr>
            </w:pPr>
            <w:r w:rsidRPr="00ED29E5">
              <w:rPr>
                <w:b/>
                <w:sz w:val="22"/>
                <w:szCs w:val="22"/>
              </w:rPr>
              <w:t>A</w:t>
            </w:r>
            <w:r>
              <w:rPr>
                <w:b/>
                <w:sz w:val="22"/>
                <w:szCs w:val="22"/>
              </w:rPr>
              <w:t>ppendix</w:t>
            </w:r>
            <w:r w:rsidRPr="00ED29E5">
              <w:rPr>
                <w:b/>
                <w:sz w:val="22"/>
                <w:szCs w:val="22"/>
              </w:rPr>
              <w:t xml:space="preserve"> </w:t>
            </w:r>
            <w:r w:rsidR="00AB4E1F" w:rsidRPr="00ED29E5">
              <w:rPr>
                <w:b/>
                <w:sz w:val="22"/>
                <w:szCs w:val="22"/>
              </w:rPr>
              <w:t>10.3</w:t>
            </w:r>
            <w:r w:rsidR="00AB4E1F" w:rsidRPr="00ED29E5">
              <w:rPr>
                <w:bCs/>
                <w:sz w:val="22"/>
                <w:szCs w:val="22"/>
              </w:rPr>
              <w:t xml:space="preserve">. </w:t>
            </w:r>
            <w:r w:rsidRPr="00ED29E5">
              <w:rPr>
                <w:bCs/>
                <w:sz w:val="22"/>
                <w:szCs w:val="22"/>
              </w:rPr>
              <w:t>Proof of possession of information technology, number of internet connections, etc. (these attachments are the same as the attachments given in the documentation for the institution's accreditation; they are attached to the program only in the electronic version).</w:t>
            </w:r>
          </w:p>
        </w:tc>
      </w:tr>
      <w:tr w:rsidR="00907182" w:rsidRPr="00ED29E5" w14:paraId="67E9F186" w14:textId="77777777" w:rsidTr="00AB4E1F">
        <w:trPr>
          <w:trHeight w:val="874"/>
        </w:trPr>
        <w:tc>
          <w:tcPr>
            <w:tcW w:w="9289" w:type="dxa"/>
            <w:shd w:val="clear" w:color="auto" w:fill="E7E6E6" w:themeFill="background2"/>
          </w:tcPr>
          <w:p w14:paraId="2E6118F0" w14:textId="77777777" w:rsidR="00AB4E1F" w:rsidRPr="00ED29E5" w:rsidRDefault="00AB4E1F" w:rsidP="00ED29E5">
            <w:pPr>
              <w:spacing w:line="276" w:lineRule="auto"/>
              <w:rPr>
                <w:b/>
                <w:bCs/>
                <w:sz w:val="22"/>
                <w:szCs w:val="22"/>
              </w:rPr>
            </w:pPr>
            <w:r w:rsidRPr="00ED29E5">
              <w:rPr>
                <w:b/>
                <w:bCs/>
                <w:sz w:val="22"/>
                <w:szCs w:val="22"/>
              </w:rPr>
              <w:lastRenderedPageBreak/>
              <w:t>Note:</w:t>
            </w:r>
          </w:p>
          <w:p w14:paraId="78F19B91" w14:textId="6A1BC29A" w:rsidR="00907182" w:rsidRPr="00ED29E5" w:rsidRDefault="00AB4E1F" w:rsidP="00ED29E5">
            <w:pPr>
              <w:spacing w:line="276" w:lineRule="auto"/>
            </w:pPr>
            <w:r w:rsidRPr="00ED29E5">
              <w:rPr>
                <w:sz w:val="22"/>
                <w:szCs w:val="22"/>
              </w:rPr>
              <w:t xml:space="preserve">Tables and Annexes for the Higher Education Institution should be submitted in a separated folder, as follows: Standard 9. Space and equipment </w:t>
            </w:r>
            <w:r w:rsidRPr="00ED29E5">
              <w:rPr>
                <w:b/>
                <w:bCs/>
                <w:sz w:val="22"/>
                <w:szCs w:val="22"/>
              </w:rPr>
              <w:t>(Table 9.1 - 9.3 and Annex 9.1 - 9.2).</w:t>
            </w:r>
          </w:p>
        </w:tc>
      </w:tr>
    </w:tbl>
    <w:p w14:paraId="534CC2C9" w14:textId="77777777" w:rsidR="00C97620" w:rsidRPr="00ED29E5" w:rsidRDefault="00C97620" w:rsidP="00ED29E5">
      <w:pPr>
        <w:spacing w:line="276" w:lineRule="auto"/>
      </w:pPr>
    </w:p>
    <w:sectPr w:rsidR="00C97620" w:rsidRPr="00ED29E5" w:rsidSect="0031428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182"/>
    <w:rsid w:val="00013518"/>
    <w:rsid w:val="0026363A"/>
    <w:rsid w:val="002D18B6"/>
    <w:rsid w:val="0031428F"/>
    <w:rsid w:val="00536B6D"/>
    <w:rsid w:val="006E6E57"/>
    <w:rsid w:val="00732A49"/>
    <w:rsid w:val="00806B5E"/>
    <w:rsid w:val="0089134D"/>
    <w:rsid w:val="00907182"/>
    <w:rsid w:val="00A539D7"/>
    <w:rsid w:val="00AB4E1F"/>
    <w:rsid w:val="00C97620"/>
    <w:rsid w:val="00DA4514"/>
    <w:rsid w:val="00ED29E5"/>
    <w:rsid w:val="00F245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D9C16A0"/>
  <w15:chartTrackingRefBased/>
  <w15:docId w15:val="{D430F54B-6C35-0145-AB7D-18E50004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907182"/>
    <w:pPr>
      <w:widowControl w:val="0"/>
      <w:autoSpaceDE w:val="0"/>
      <w:autoSpaceDN w:val="0"/>
      <w:adjustRightInd w:val="0"/>
    </w:pPr>
    <w:rPr>
      <w:rFonts w:ascii="Times New Roman" w:eastAsia="Times New Roman" w:hAnsi="Times New Roman" w:cs="Times New Roman"/>
      <w:sz w:val="20"/>
      <w:szCs w:val="20"/>
      <w:lang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071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370565">
      <w:bodyDiv w:val="1"/>
      <w:marLeft w:val="0"/>
      <w:marRight w:val="0"/>
      <w:marTop w:val="0"/>
      <w:marBottom w:val="0"/>
      <w:divBdr>
        <w:top w:val="none" w:sz="0" w:space="0" w:color="auto"/>
        <w:left w:val="none" w:sz="0" w:space="0" w:color="auto"/>
        <w:bottom w:val="none" w:sz="0" w:space="0" w:color="auto"/>
        <w:right w:val="none" w:sz="0" w:space="0" w:color="auto"/>
      </w:divBdr>
    </w:div>
    <w:div w:id="200319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547</Words>
  <Characters>3122</Characters>
  <Application>Microsoft Office Word</Application>
  <DocSecurity>0</DocSecurity>
  <Lines>26</Lines>
  <Paragraphs>7</Paragraphs>
  <ScaleCrop>false</ScaleCrop>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Tijana Recevic</dc:creator>
  <cp:keywords/>
  <dc:description/>
  <cp:lastModifiedBy>Nemanja Dzuverovic</cp:lastModifiedBy>
  <cp:revision>5</cp:revision>
  <dcterms:created xsi:type="dcterms:W3CDTF">2021-07-04T11:24:00Z</dcterms:created>
  <dcterms:modified xsi:type="dcterms:W3CDTF">2021-07-04T19:18:00Z</dcterms:modified>
</cp:coreProperties>
</file>